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§679-A. LOW-LEVEL RADIOACTIVE WASTE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