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4194</w:t>
        <w:t xml:space="preserve">.  </w:t>
      </w:r>
      <w:r>
        <w:rPr>
          <w:b/>
        </w:rPr>
        <w:t xml:space="preserve">Penalty for illegal placement -- Article IV</w:t>
      </w:r>
    </w:p>
    <w:p>
      <w:pPr>
        <w:jc w:val="both"/>
        <w:spacing w:before="100" w:after="100"/>
        <w:ind w:start="360"/>
        <w:ind w:firstLine="360"/>
      </w:pPr>
      <w:r>
        <w:rPr/>
      </w:r>
      <w:r>
        <w:rPr/>
      </w:r>
      <w:r>
        <w:t xml:space="preserve">The sending, bringing or causing to be sent or brought into any receiving state of a child in violation of the terms of this compact shall constitute a violation of the laws respecting the placement of children of both the state in which the sending agency is located or from which it sends or brings the child and of the receiving state. Such violation may be punished or subject to penalty in either jurisdiction in accordance with its laws. In addition to liability for any such punishment or penalty, any such violation shall constitute full and sufficient grounds for the suspension or revocation of any license, permit or other legal authorization held by the sending agency which empowers or allows it to place or care for children.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§4194. Penalty for illegal placement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§4194. Penalty for illegal placement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§4194. PENALTY FOR ILLEGAL PLACEMENT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