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345</w:t>
        <w:t xml:space="preserve">.  </w:t>
      </w:r>
      <w:r>
        <w:rPr>
          <w:b/>
        </w:rPr>
        <w:t xml:space="preserve">Division of project to evade cost limitation prohibited</w:t>
      </w:r>
    </w:p>
    <w:p>
      <w:pPr>
        <w:jc w:val="both"/>
        <w:spacing w:before="100" w:after="100"/>
        <w:ind w:start="360"/>
        <w:ind w:firstLine="360"/>
      </w:pPr>
      <w:r>
        <w:rPr/>
      </w:r>
      <w:r>
        <w:rPr/>
      </w:r>
      <w:r>
        <w:t xml:space="preserve">A health care facility or other party required to obtain a certificate of need may not separate portions of a single project into components, including, but not limited to, site facility and equipment, to evade the cost limitations or other requirements of </w:t>
      </w:r>
      <w:r>
        <w:t>section 329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664,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§345. Division of project to evade cost limitation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§345. Division of project to evade cost limitation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§345. DIVISION OF PROJECT TO EVADE COST LIMITATION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