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2660-Y</w:t>
        <w:t xml:space="preserve">.  </w:t>
      </w:r>
      <w:r>
        <w:rPr>
          <w:b/>
        </w:rPr>
        <w:t xml:space="preserve">Landlord arsenic testing</w:t>
      </w:r>
    </w:p>
    <w:p>
      <w:pPr>
        <w:jc w:val="both"/>
        <w:spacing w:before="100" w:after="100"/>
        <w:ind w:start="360"/>
        <w:ind w:firstLine="360"/>
      </w:pPr>
      <w:r>
        <w:rPr/>
      </w:r>
      <w:r>
        <w:rPr/>
      </w:r>
      <w:r>
        <w:t xml:space="preserve">Beginning January 1, 2022 and every 5 years thereafter, a landlord of a residential building shall test for arsenic each private drinking water well used to provide water to a tenant of the landlord.  The landlord shall conduct testing under this section through a laboratory certified or accredited pursuant to </w:t>
      </w:r>
      <w:r>
        <w:t>section 567</w:t>
      </w:r>
      <w:r>
        <w:t xml:space="preserve"> and shall, within 10 days of notification of the results, provide to each of the landlord's tenants the results of any test conducted under this section of the private drinking water well used to provide water to the tenant.  The landlord shall, within 10 days of notification of the results, notify any new tenant of the most recent results of a test conducted under this section on a private drinking water well that will be used to provide water to the tenant.</w:t>
      </w:r>
      <w:r>
        <w:t xml:space="preserve">  </w:t>
      </w:r>
      <w:r xmlns:wp="http://schemas.openxmlformats.org/drawingml/2010/wordprocessingDrawing" xmlns:w15="http://schemas.microsoft.com/office/word/2012/wordml">
        <w:rPr>
          <w:rFonts w:ascii="Arial" w:hAnsi="Arial" w:cs="Arial"/>
          <w:sz w:val="22"/>
          <w:szCs w:val="22"/>
        </w:rPr>
        <w:t xml:space="preserve">[PL 2021, c. 483, Pt. BB,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BB,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§2660-Y. Landlord arsenic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§2660-Y. Landlord arsenic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§2660-Y. LANDLORD ARSENIC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