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2660-V</w:t>
        <w:t xml:space="preserve">.  </w:t>
      </w:r>
      <w:r>
        <w:rPr>
          <w:b/>
        </w:rPr>
        <w:t xml:space="preserve">Educational outreach</w:t>
      </w:r>
    </w:p>
    <w:p>
      <w:pPr>
        <w:jc w:val="both"/>
        <w:spacing w:before="100" w:after="100"/>
        <w:ind w:start="360"/>
        <w:ind w:firstLine="360"/>
      </w:pPr>
      <w:r>
        <w:rPr/>
      </w:r>
      <w:r>
        <w:rPr/>
      </w:r>
      <w:r>
        <w:t xml:space="preserve">Within available resources, the department shall revise and update its education and outreach materials as needed and conduct educational outreach regarding residential private drinking water wells, including the need to conduct testing for contaminants or properties specified pursuant to </w:t>
      </w:r>
      <w:r>
        <w:t>section 2660‑T</w:t>
      </w:r>
      <w:r>
        <w:t xml:space="preserve"> through a laboratory certified pursuant to </w:t>
      </w:r>
      <w:r>
        <w:t>section 567</w:t>
      </w:r>
      <w:r>
        <w:t xml:space="preserve">, the potential health effects of those contaminants or properties and options for water treatment to reduce the level of those contaminants or properties.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§2660-V. Educational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§2660-V. Educational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§2660-V. EDUCATIONAL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