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2620-B</w:t>
        <w:t xml:space="preserve">.  </w:t>
      </w:r>
      <w:r>
        <w:rPr>
          <w:b/>
        </w:rPr>
        <w:t xml:space="preserve">Exception</w:t>
      </w:r>
    </w:p>
    <w:p>
      <w:pPr>
        <w:jc w:val="both"/>
        <w:spacing w:before="100" w:after="100"/>
        <w:ind w:start="360"/>
        <w:ind w:firstLine="360"/>
      </w:pPr>
      <w:r>
        <w:rPr/>
      </w:r>
      <w:r>
        <w:rPr/>
      </w:r>
      <w:r>
        <w:t xml:space="preserve">Notwithstanding </w:t>
      </w:r>
      <w:r>
        <w:t>section 2619</w:t>
      </w:r>
      <w:r>
        <w:t xml:space="preserve">, if a violation poses a serious risk to public health, the commissioner may issue an administrative compliance order immediately without having issued a notice of noncompliance or having attempted to negotiate an administrative consent order.</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§2620-B.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§2620-B.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§2620-B.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