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2604-B</w:t>
        <w:t xml:space="preserve">.  </w:t>
      </w:r>
      <w:r>
        <w:rPr>
          <w:b/>
        </w:rPr>
        <w:t xml:space="preserve">Schools, sampling and examination of water for lead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"school" means a private school as defined in </w:t>
      </w:r>
      <w:r>
        <w:t>Title 20‑A, section 1, subsection 22</w:t>
      </w:r>
      <w:r>
        <w:t xml:space="preserve"> or a public school as defined in </w:t>
      </w:r>
      <w:r>
        <w:t>Title 20‑A, section 1,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2</w:t>
        <w:t xml:space="preserve">.  </w:t>
      </w:r>
      <w:r>
        <w:rPr>
          <w:b/>
        </w:rPr>
        <w:t xml:space="preserve">Lead testing.</w:t>
        <w:t xml:space="preserve"> </w:t>
      </w:r>
      <w:r>
        <w:t xml:space="preserve"> </w:t>
      </w:r>
      <w:r>
        <w:t xml:space="preserve">To the extent the department provides the necessary resources to a school so that the school is not required to expand or modify its activities so as to necessitate additional expenditures from local revenue, a school shall test water used for drinking or culinary purposes for lead using water testing kits or by submitting samples of water used for drinking or culinary purposes to an approved laboratory under </w:t>
      </w:r>
      <w:r>
        <w:t>section 2607</w:t>
      </w:r>
      <w:r>
        <w:t xml:space="preserve"> for lead testing.  If the water is found to violate the water lead levels established by the department, the department shall issue specific guidance to the school on reducing exposure to lead according to procedures established by the department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but not limited to, establishing water lead levels; testing protocols, including the frequency of testing; abatement or mitigation methods; procedures for the issuance of guidance to reduce exposure to lead; and public notification procedures.  In adopting rules to implement this section, the department shall consider the United States Environmental Protection Agency's recommendations for reducing lead in drinking water in schools.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In implementing this section, the department:</w:t>
      </w:r>
    </w:p>
    <w:p>
      <w:pPr>
        <w:jc w:val="both"/>
        <w:spacing w:before="100" w:after="0"/>
        <w:ind w:start="720"/>
      </w:pPr>
      <w:r>
        <w:rPr/>
        <w:t>A</w:t>
        <w:t xml:space="preserve">.  </w:t>
      </w:r>
      <w:r>
        <w:rPr/>
      </w:r>
      <w:r>
        <w:t xml:space="preserve">May not require a school to expand or modify its activities so as to necessitate additional expenditures from local revenue; and</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w:pPr>
        <w:jc w:val="both"/>
        <w:spacing w:before="100" w:after="0"/>
        <w:ind w:start="720"/>
      </w:pPr>
      <w:r>
        <w:rPr/>
        <w:t>B</w:t>
        <w:t xml:space="preserve">.  </w:t>
      </w:r>
      <w:r>
        <w:rPr/>
      </w:r>
      <w:r>
        <w:t xml:space="preserve">Within existing resources, to the maximum extent possible, shall provide resources to schools in order to achieve the purposes of this section.  If the department determines that sufficient resources are unavailable to a school in order to achieve the purposes of this section, the department shall seek to identify alternative means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w:pPr>
        <w:jc w:val="both"/>
        <w:spacing w:before="100" w:after="0"/>
        <w:ind w:start="360"/>
        <w:ind w:firstLine="360"/>
      </w:pPr>
      <w:r>
        <w:rPr>
          <w:b/>
        </w:rPr>
        <w:t>5</w:t>
        <w:t xml:space="preserve">.  </w:t>
      </w:r>
      <w:r>
        <w:rPr>
          <w:b/>
        </w:rPr>
        <w:t xml:space="preserve">Reports.</w:t>
        <w:t xml:space="preserve"> </w:t>
      </w:r>
      <w:r>
        <w:t xml:space="preserve"> </w:t>
      </w:r>
      <w:r>
        <w:t xml:space="preserve">By January 1, 2021 and annually thereafter, the department shall submit a report to the joint standing committee of the Legislature having jurisdiction over health and human services matters on the number of schools tested for lead, whether the department issued specific guidance to any schools to reduce exposure to lead, the number of schools that engaged in abatement or mitigation and the methods of abatement or mitigation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§2604-B. Schools, sampling and examination of water for lead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§2604-B. SCHOOLS, SAMPLING AND EXAMINATION OF WATER FOR LEAD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