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1714-D</w:t>
        <w:t xml:space="preserve">.  </w:t>
      </w:r>
      <w:r>
        <w:rPr>
          <w:b/>
        </w:rPr>
        <w:t xml:space="preserve">Critical access hospital reimbursement</w:t>
      </w:r>
    </w:p>
    <w:p>
      <w:pPr>
        <w:jc w:val="both"/>
        <w:spacing w:before="100" w:after="100"/>
        <w:ind w:start="360"/>
        <w:ind w:firstLine="360"/>
      </w:pPr>
      <w:r>
        <w:rPr/>
      </w:r>
      <w:r>
        <w:rPr/>
      </w:r>
      <w:r>
        <w:t xml:space="preserve">Beginning April 1, 2012, the department shall reimburse licensed critical access hospitals at 109% of MaineCare allowable costs for both inpatient and outpatient services provided to patients covered by the MaineCare program. Of the total allocated from hospital tax revenues under </w:t>
      </w:r>
      <w:r>
        <w:t>Title 36, chapter 375</w:t>
      </w:r>
      <w:r>
        <w:t xml:space="preserve">, $1,000,000 in state and federal funds must be distributed annually among critical access hospitals for staff enhancement payments.</w:t>
      </w:r>
      <w:r>
        <w:t xml:space="preserve">  </w:t>
      </w:r>
      <w:r xmlns:wp="http://schemas.openxmlformats.org/drawingml/2010/wordprocessingDrawing" xmlns:w15="http://schemas.microsoft.com/office/word/2012/wordml">
        <w:rPr>
          <w:rFonts w:ascii="Arial" w:hAnsi="Arial" w:cs="Arial"/>
          <w:sz w:val="22"/>
          <w:szCs w:val="22"/>
        </w:rPr>
        <w:t xml:space="preserve">[PL 2011, c. 657, Pt. H, §1 (NEW); PL 2011, c. 657, Pt. H, §5 (AFF).]</w:t>
      </w:r>
    </w:p>
    <w:p>
      <w:pPr>
        <w:jc w:val="both"/>
        <w:spacing w:before="100" w:after="100"/>
        <w:ind w:start="360"/>
      </w:pPr>
      <w:r>
        <w:rPr>
          <w:b w:val="true"/>
          <w:i/>
          <w:caps w:val="true"/>
        </w:rPr>
        <w:t xml:space="preserve">Revisor's Note: </w:t>
      </w:r>
      <w:r>
        <w:t>§1714-D.  Credible allegations of fraud; provider payment suspensions (As enacted by PL 2011, c. 687, §9 is REALLOCATED TO TITLE 22, SECTION 1714-E)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§25 (RAL). PL 2011, c. 657, Pt. H, §1 (NEW). PL 2011, c. 657, Pt. H, §5 (AFF). PL 2011, c. 687,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§1714-D. Critical access hospital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§1714-D. Critical access hospital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§1714-D. CRITICAL ACCESS HOSPITAL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