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§1711-A. FEES CHARGED FOR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