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1554-A</w:t>
        <w:t xml:space="preserve">.  </w:t>
      </w:r>
      <w:r>
        <w:rPr>
          <w:b/>
        </w:rPr>
        <w:t xml:space="preserve">Sale of unpackaged cigarettes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cigarettes except in the original sealed package in which they were placed by the manufacturer, which may not be smaller than 20 cigarettes per package; or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w:pPr>
        <w:jc w:val="both"/>
        <w:spacing w:before="100" w:after="0"/>
        <w:ind w:start="720"/>
      </w:pPr>
      <w:r>
        <w:rPr/>
        <w:t>B</w:t>
        <w:t xml:space="preserve">.  </w:t>
      </w:r>
      <w:r>
        <w:rPr/>
      </w:r>
      <w:r>
        <w:t xml:space="preserve">Sell cigarettes in smaller quantities than placed in the package by the manufacturer.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2</w:t>
        <w:t xml:space="preserve">.  </w:t>
      </w:r>
      <w:r>
        <w:rPr>
          <w:b/>
        </w:rPr>
        <w:t xml:space="preserve">Penalty; employee.</w:t>
        <w:t xml:space="preserve"> </w:t>
      </w:r>
      <w:r>
        <w:t xml:space="preserve"> </w:t>
      </w:r>
      <w:r>
        <w:t xml:space="preserve">A person who violates this section commits a civil violation for which a fine of not less than $10 and not more than $100 may be adjudged.  In all cases of violations, the court shall impose a fine that may not be suspended, except pursuant to </w:t>
      </w:r>
      <w:r>
        <w:t>Title 15, 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3</w:t>
        <w:t xml:space="preserve">.  </w:t>
      </w:r>
      <w:r>
        <w:rPr>
          <w:b/>
        </w:rPr>
        <w:t xml:space="preserve">Penalty; employer.</w:t>
        <w:t xml:space="preserve"> </w:t>
      </w:r>
      <w:r>
        <w:t xml:space="preserve"> </w:t>
      </w:r>
      <w:r>
        <w:t xml:space="preserve">The employer of a person who violates this section commits a civil violation for which a fine of not less than $100 and not more than $1,000 may be adjudged.  In all cases of violations, the court shall impose a fine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§3 (AMD). PL 2003, c. 452, §K5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§1554-A.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§1554-A.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§1554-A.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