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1330</w:t>
        <w:t xml:space="preserve">.  </w:t>
      </w:r>
      <w:r>
        <w:rPr>
          <w:b/>
        </w:rPr>
        <w:t xml:space="preserve">Report</w:t>
      </w:r>
    </w:p>
    <w:p>
      <w:pPr>
        <w:jc w:val="both"/>
        <w:spacing w:before="100" w:after="100"/>
        <w:ind w:start="360"/>
        <w:ind w:firstLine="360"/>
      </w:pPr>
      <w:r>
        <w:rPr/>
      </w:r>
      <w:r>
        <w:rPr/>
      </w:r>
      <w:r>
        <w:t xml:space="preserve">The department shall report to the joint standing committee of the Legislature having jurisdiction over health and human services matters whenever the federal Department of Health and Human Services, Centers for Disease Control and Prevention adopts a new blood lead reference level based on the 97.5th percentile of blood lead levels in children established by a national health and nutrition examination survey.</w:t>
      </w:r>
      <w:r>
        <w:t xml:space="preserve">  </w:t>
      </w:r>
      <w:r xmlns:wp="http://schemas.openxmlformats.org/drawingml/2010/wordprocessingDrawing" xmlns:w15="http://schemas.microsoft.com/office/word/2012/wordml">
        <w:rPr>
          <w:rFonts w:ascii="Arial" w:hAnsi="Arial" w:cs="Arial"/>
          <w:sz w:val="22"/>
          <w:szCs w:val="22"/>
        </w:rPr>
        <w:t xml:space="preserve">[PL 2019,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§1330.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§1330.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§1330.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