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Injunction requiring removal</w:t>
      </w:r>
    </w:p>
    <w:p>
      <w:pPr>
        <w:jc w:val="both"/>
        <w:spacing w:before="100" w:after="100"/>
        <w:ind w:start="360"/>
        <w:ind w:firstLine="360"/>
      </w:pPr>
      <w:r>
        <w:rPr/>
      </w:r>
      <w:r>
        <w:rPr/>
      </w:r>
      <w:r>
        <w:t xml:space="preserve">If the lead-based substance remains an environmental lead hazard at the expiration of 30 days or at the expiration of an extension given by the commissioner pursuant to </w:t>
      </w:r>
      <w:r>
        <w:t>section 1321</w:t>
      </w:r>
      <w:r>
        <w:t xml:space="preserve">, that is a violation of this chapter and the State, in addition to any other remedies it has, may seek a mandatory injunction ordering the environmental lead hazard removed by a suitable 3rd party at the expense of the owner of the dwelling, premises, residential child-occupied facility, child care facility, premises of the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2015, c. 267, Pt. LLLL,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§13 (NEW). PL 1991, c. 810, §34 (AMD). PL 1995, c. 453, §18 (AMD). PL 2003, c. 421, §10 (AMD). PL 2005, c. 530, §5 (AMD). PL 2015, c. 267, Pt. LLLL,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Injunction requiring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Injunction requiring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§1326. INJUNCTION REQUIRING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