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Definitions</w:t>
      </w:r>
    </w:p>
    <w:p>
      <w:pPr>
        <w:jc w:val="both"/>
        <w:spacing w:before="100" w:after="0"/>
        <w:ind w:start="360"/>
        <w:ind w:firstLine="360"/>
      </w:pPr>
      <w:r>
        <w:rPr>
          <w:b/>
        </w:rPr>
        <w:t>1</w:t>
        <w:t xml:space="preserve">.  </w:t>
      </w:r>
      <w:r>
        <w:rPr>
          <w:b/>
        </w:rPr>
        <w:t xml:space="preserve">Clinic.</w:t>
        <w:t xml:space="preserve"> </w:t>
      </w:r>
      <w:r>
        <w:t xml:space="preserve"> </w:t>
      </w:r>
      <w:r>
        <w:t xml:space="preserve">"Clinic," as used in this subchapter, shall mean any place, establishment or institution which operates for the purpose of dispensing immunizing agents to persons who are not confined in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Immunizing agent.</w:t>
        <w:t xml:space="preserve"> </w:t>
      </w:r>
      <w:r>
        <w:t xml:space="preserve"> </w:t>
      </w:r>
      <w:r>
        <w:t xml:space="preserve">"Immunizing agent" means a vaccine, antitoxin or other substance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