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265-B</w:t>
      </w:r>
    </w:p>
    <w:p>
      <w:pPr>
        <w:jc w:val="center"/>
        <w:ind w:start="360"/>
        <w:spacing w:before="300" w:after="300"/>
      </w:pPr>
      <w:r>
        <w:rPr>
          <w:b/>
        </w:rPr>
        <w:t xml:space="preserve">VENDING MACHINE SALES OF CIGARETTES</w:t>
      </w:r>
    </w:p>
    <w:p>
      <w:pPr>
        <w:jc w:val="both"/>
        <w:spacing w:before="100" w:after="100"/>
        <w:ind w:start="1080" w:hanging="720"/>
      </w:pPr>
      <w:r>
        <w:rPr>
          <w:b/>
        </w:rPr>
        <w:t>§</w:t>
        <w:t>1628</w:t>
        <w:t xml:space="preserve">.  </w:t>
      </w:r>
      <w:r>
        <w:rPr>
          <w:b/>
        </w:rPr>
        <w:t xml:space="preserve">Vending machine sales of cigarettes limited to supervised areas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127 (NEW). PL 1989, c. 445, §9 (AMD). PL 1993, c. 406, §1 (AMD). PL 1995, c. 470, §13 (RP). PL 1995, c. 470, §19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265-B. VENDING MACHINE SALES OF CIGARETTES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265-B. VENDING MACHINE SALES OF CIGARETTES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265-B. VENDING MACHINE SALES OF CIGARETTES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