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1212</w:t>
        <w:t xml:space="preserve">.  </w:t>
      </w:r>
      <w:r>
        <w:rPr>
          <w:b/>
        </w:rPr>
        <w:t xml:space="preserve">Determination of title to office where dispute exists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161, §5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§1212. Determination of title to office where dispute exists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§1212. Determination of title to office where dispute exists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21, §1212. DETERMINATION OF TITLE TO OFFICE WHERE DISPUTE EXISTS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