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The presidential electors at large shall cast their ballots for the presidential and vice-presidential candidates who received the largest number of votes in the State according to the ranked‑choice method of counting votes described in </w:t>
      </w:r>
      <w:r>
        <w:t>section 723‑A</w:t>
      </w:r>
      <w:r>
        <w:t xml:space="preserve">.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w:t>
      </w:r>
      <w:r>
        <w:t>section 723‑A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539, §5 (AMD).]</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 Convention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Convention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§805. CONVENTION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