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Challenges</w:t>
      </w:r>
    </w:p>
    <w:p>
      <w:pPr>
        <w:jc w:val="both"/>
        <w:spacing w:before="100" w:after="100"/>
        <w:ind w:start="360"/>
        <w:ind w:firstLine="360"/>
      </w:pPr>
      <w:r>
        <w:rPr/>
      </w:r>
      <w:r>
        <w:rPr/>
      </w:r>
      <w:r>
        <w:t xml:space="preserve">An absentee ballot may be challenged the same as a regular ballot under </w:t>
      </w:r>
      <w:r>
        <w:t>section 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§757.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§757.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