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§754-A. Method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§754-A. Method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§754-A. METHOD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