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724-A</w:t>
        <w:t xml:space="preserve">.  </w:t>
      </w:r>
      <w:r>
        <w:rPr>
          <w:b/>
        </w:rPr>
        <w:t xml:space="preserve">Written notice to Legislature</w:t>
      </w:r>
    </w:p>
    <w:p>
      <w:pPr>
        <w:jc w:val="both"/>
        <w:spacing w:before="100" w:after="100"/>
        <w:ind w:start="360"/>
        <w:ind w:firstLine="360"/>
      </w:pPr>
      <w:r>
        <w:rPr/>
      </w:r>
      <w:r>
        <w:rPr/>
      </w:r>
      <w:r>
        <w:t xml:space="preserve">At the time the Governor publicly proclaims the result of the vote on any measure referred to the people for approval under the Constitution of Maine, Article IV, Part Third, Section 17 or 18, the Governor shall also provide written notice of the result of that vote to the President of the Senate, the Speaker of the House and the Revisor of Statutes.</w:t>
      </w:r>
      <w:r>
        <w:t xml:space="preserve">  </w:t>
      </w:r>
      <w:r xmlns:wp="http://schemas.openxmlformats.org/drawingml/2010/wordprocessingDrawing" xmlns:w15="http://schemas.microsoft.com/office/word/2012/wordml">
        <w:rPr>
          <w:rFonts w:ascii="Arial" w:hAnsi="Arial" w:cs="Arial"/>
          <w:sz w:val="22"/>
          <w:szCs w:val="22"/>
        </w:rPr>
        <w:t xml:space="preserve">[RR 2019, c. 2, Pt. B, §57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188, §7 (NEW). RR 2019, c. 2, Pt. B, §57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§724-A. Written notice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§724-A. Written notice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§724-A. WRITTEN NOTICE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