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§652. Certified incoming voting list and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Certified incoming voting list and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§652. CERTIFIED INCOMING VOTING LIST AND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