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§312. MUNICIPAL CAUCUS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