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Forms and notices</w:t>
      </w:r>
    </w:p>
    <w:p>
      <w:pPr>
        <w:jc w:val="both"/>
        <w:spacing w:before="100" w:after="100"/>
        <w:ind w:start="360"/>
        <w:ind w:firstLine="360"/>
      </w:pPr>
      <w:r>
        <w:rPr/>
      </w:r>
      <w:r>
        <w:rPr/>
      </w:r>
      <w:r>
        <w:t xml:space="preserve">The design and contents of all application forms used for voter registration must be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695,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 Forms and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Forms and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§182. FORMS AND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