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Form of ballot</w:t>
      </w:r>
    </w:p>
    <w:p>
      <w:pPr>
        <w:jc w:val="both"/>
        <w:spacing w:before="100" w:after="100"/>
        <w:ind w:start="360"/>
        <w:ind w:firstLine="360"/>
      </w:pPr>
      <w:r>
        <w:rPr/>
      </w:r>
      <w:r>
        <w:rPr/>
      </w:r>
      <w:r>
        <w:t xml:space="preserve">The Secretary of State shall prepare the ballots for referendum questions according to the following provisions, subject to the authority contained in </w:t>
      </w:r>
      <w:r>
        <w:t>section 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188, §16 (AMD).]</w:t>
      </w:r>
    </w:p>
    <w:p>
      <w:pPr>
        <w:jc w:val="both"/>
        <w:spacing w:before="100" w:after="0"/>
        <w:ind w:start="360"/>
        <w:ind w:firstLine="360"/>
      </w:pPr>
      <w:r>
        <w:rPr>
          <w:b/>
        </w:rPr>
        <w:t>1</w:t>
        <w:t xml:space="preserve">.  </w:t>
      </w:r>
      <w:r>
        <w:rPr>
          <w:b/>
        </w:rPr>
        <w:t xml:space="preserve">Referendum questions on separate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§6 (RP).]</w:t>
      </w:r>
    </w:p>
    <w:p>
      <w:pPr>
        <w:jc w:val="both"/>
        <w:spacing w:before="100" w:after="0"/>
        <w:ind w:start="360"/>
        <w:ind w:firstLine="360"/>
      </w:pPr>
      <w:r>
        <w:rPr>
          <w:b/>
        </w:rPr>
        <w:t>1-A</w:t>
        <w:t xml:space="preserve">.  </w:t>
      </w:r>
      <w:r>
        <w:rPr>
          <w:b/>
        </w:rPr>
        <w:t xml:space="preserve">Referendum questions on same ballot.</w:t>
        <w:t xml:space="preserve"> </w:t>
      </w:r>
      <w:r>
        <w:t xml:space="preserve"> </w:t>
      </w:r>
      <w:r>
        <w:t xml:space="preserve">Referendum questions may be printed on the same ballot used for the election of state candidates or municipal elections, as determined by the Secretary of State in accordance with </w:t>
      </w:r>
      <w:r>
        <w:t>section 604‑A</w:t>
      </w:r>
      <w:r>
        <w:t xml:space="preserve">.  There must be a place on the ballot for the voter to designate the voter's choice.  A referendum question must be arranged so that the voter may vote for or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§68 (AMD).]</w:t>
      </w:r>
    </w:p>
    <w:p>
      <w:pPr>
        <w:jc w:val="both"/>
        <w:spacing w:before="100" w:after="0"/>
        <w:ind w:start="360"/>
        <w:ind w:firstLine="360"/>
      </w:pPr>
      <w:r>
        <w:rPr>
          <w:b/>
        </w:rPr>
        <w:t>2</w:t>
        <w:t xml:space="preserve">.  </w:t>
      </w:r>
      <w:r>
        <w:rPr>
          <w:b/>
        </w:rPr>
        <w:t xml:space="preserve">Bond issues; total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§59 (RP).]</w:t>
      </w:r>
    </w:p>
    <w:p>
      <w:pPr>
        <w:jc w:val="both"/>
        <w:spacing w:before="100" w:after="0"/>
        <w:ind w:start="360"/>
        <w:ind w:firstLine="360"/>
      </w:pPr>
      <w:r>
        <w:rPr>
          <w:b/>
        </w:rPr>
        <w:t>3</w:t>
        <w:t xml:space="preserve">.  </w:t>
      </w:r>
      <w:r>
        <w:rPr>
          <w:b/>
        </w:rPr>
        <w:t xml:space="preserve">Distinctively colored.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§5 (RP).]</w:t>
      </w:r>
    </w:p>
    <w:p>
      <w:pPr>
        <w:jc w:val="both"/>
        <w:spacing w:before="100" w:after="0"/>
        <w:ind w:start="360"/>
        <w:ind w:firstLine="360"/>
      </w:pPr>
      <w:r>
        <w:rPr>
          <w:b/>
        </w:rPr>
        <w:t>4</w:t>
        <w:t xml:space="preserve">.  </w:t>
      </w:r>
      <w:r>
        <w:rPr>
          <w:b/>
        </w:rPr>
        <w:t xml:space="preserve">Size.</w:t>
        <w:t xml:space="preserve"> </w:t>
      </w:r>
      <w:r>
        <w:t xml:space="preserve"> </w:t>
      </w:r>
      <w:r>
        <w:t xml:space="preserve">The Secretary of State shall determine the size of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Contents concealed.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§9 (RP).]</w:t>
      </w:r>
    </w:p>
    <w:p>
      <w:pPr>
        <w:jc w:val="both"/>
        <w:spacing w:before="100" w:after="100"/>
        <w:ind w:start="360"/>
        <w:ind w:firstLine="360"/>
      </w:pPr>
      <w:r>
        <w:rPr>
          <w:b/>
        </w:rPr>
        <w:t>6</w:t>
        <w:t xml:space="preserve">.  </w:t>
      </w:r>
      <w:r>
        <w:rPr>
          <w:b/>
        </w:rPr>
        <w:t xml:space="preserve">Wording of ballots for people's veto and direct initiative referenda.</w:t>
        <w:t xml:space="preserve"> </w:t>
      </w:r>
      <w:r>
        <w:t xml:space="preserve"> </w:t>
      </w:r>
      <w:r>
        <w:t xml:space="preserve">Ballots for a statewide vote on a people's veto referendum or a direct initiative must set out the question or questions to be voted on as set forth in this subsection.</w:t>
      </w:r>
    </w:p>
    <w:p>
      <w:pPr>
        <w:jc w:val="both"/>
        <w:spacing w:before="100" w:after="0"/>
        <w:ind w:start="720"/>
      </w:pPr>
      <w:r>
        <w:rPr/>
        <w:t>A</w:t>
        <w:t xml:space="preserve">.  </w:t>
      </w:r>
      <w:r>
        <w:rPr/>
      </w:r>
      <w:r>
        <w:t xml:space="preserve">The Secretary of State shall advise petitioners that the proper suggested format for an initiative question is a separate question for each issue.  In determining whether there is more than one issue, each requiring a separate question, considerations include whether:</w:t>
      </w:r>
    </w:p>
    <w:p>
      <w:pPr>
        <w:jc w:val="both"/>
        <w:spacing w:before="100" w:after="0"/>
        <w:ind w:start="1080"/>
      </w:pPr>
      <w:r>
        <w:rPr/>
        <w:t>(</w:t>
        <w:t>1</w:t>
        <w:t xml:space="preserve">)  </w:t>
      </w:r>
      <w:r>
        <w:rPr/>
      </w:r>
      <w:r>
        <w:t xml:space="preserve">A voter would reasonably have different opinions on the different issues;</w:t>
      </w:r>
    </w:p>
    <w:p>
      <w:pPr>
        <w:jc w:val="both"/>
        <w:spacing w:before="100" w:after="0"/>
        <w:ind w:start="1080"/>
      </w:pPr>
      <w:r>
        <w:rPr/>
        <w:t>(</w:t>
        <w:t>2</w:t>
        <w:t xml:space="preserve">)  </w:t>
      </w:r>
      <w:r>
        <w:rPr/>
      </w:r>
      <w:r>
        <w:t xml:space="preserve">Having more than one question would help voters to better understand the subject matter; and</w:t>
      </w:r>
    </w:p>
    <w:p>
      <w:pPr>
        <w:jc w:val="both"/>
        <w:spacing w:before="100" w:after="0"/>
        <w:ind w:start="1080"/>
      </w:pPr>
      <w:r>
        <w:rPr/>
        <w:t>(</w:t>
        <w:t>3</w:t>
        <w:t xml:space="preserve">)  </w:t>
      </w:r>
      <w:r>
        <w:rPr/>
      </w:r>
      <w:r>
        <w:t xml:space="preserve">The questions are severable and can be enacted or rejected separately without negating the intent of the petitioners.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B</w:t>
        <w:t xml:space="preserve">.  </w:t>
      </w:r>
      <w:r>
        <w:rPr/>
      </w:r>
      <w:r>
        <w:t xml:space="preserve">The Secretary of State shall write the question in a clear, concise and direct manner that describes the subject matter of the people's veto or direct initiative as simply as is possible.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C</w:t>
        <w:t xml:space="preserve">.  </w:t>
      </w:r>
      <w:r>
        <w:rPr/>
      </w:r>
      <w:r>
        <w:t xml:space="preserve">The question for a direct initiative must be phrased so that an affirmative vote is in favor of the direct initiative.</w:t>
      </w:r>
      <w:r>
        <w:t xml:space="preserve">  </w:t>
      </w:r>
      <w:r xmlns:wp="http://schemas.openxmlformats.org/drawingml/2010/wordprocessingDrawing" xmlns:w15="http://schemas.microsoft.com/office/word/2012/wordml">
        <w:rPr>
          <w:rFonts w:ascii="Arial" w:hAnsi="Arial" w:cs="Arial"/>
          <w:sz w:val="22"/>
          <w:szCs w:val="22"/>
        </w:rPr>
        <w:t xml:space="preserve">[PL 2019, c. 414, §1 (AMD).]</w:t>
      </w:r>
    </w:p>
    <w:p>
      <w:pPr>
        <w:jc w:val="both"/>
        <w:spacing w:before="100" w:after="0"/>
        <w:ind w:start="720"/>
      </w:pPr>
      <w:r>
        <w:rPr/>
        <w:t>D</w:t>
        <w:t xml:space="preserve">.  </w:t>
      </w:r>
      <w:r>
        <w:rPr/>
      </w:r>
      <w:r>
        <w:t xml:space="preserve">If the Legislature adopts a competing measure, the ballot must clearly designate the competing question and legislation as a competing measure and allow voters to indicate whether they support the direct initiative, support the competing measure or reject both.</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w:pPr>
        <w:jc w:val="both"/>
        <w:spacing w:before="100" w:after="0"/>
        <w:ind w:start="720"/>
      </w:pPr>
      <w:r>
        <w:rPr/>
        <w:t>E</w:t>
        <w:t xml:space="preserve">.  </w:t>
      </w:r>
      <w:r>
        <w:rPr/>
      </w:r>
      <w:r>
        <w:t xml:space="preserve">If there is more than one direct initiative referendum on the same general subject, the Secretary of State shall write the questions in a manner that describes the differences between the initiatives.</w:t>
      </w:r>
      <w:r>
        <w:t xml:space="preserve">  </w:t>
      </w:r>
      <w:r xmlns:wp="http://schemas.openxmlformats.org/drawingml/2010/wordprocessingDrawing" xmlns:w15="http://schemas.microsoft.com/office/word/2012/wordml">
        <w:rPr>
          <w:rFonts w:ascii="Arial" w:hAnsi="Arial" w:cs="Arial"/>
          <w:sz w:val="22"/>
          <w:szCs w:val="22"/>
        </w:rPr>
        <w:t xml:space="preserve">[PL 1993, c. 352,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§1 (AMD).]</w:t>
      </w:r>
    </w:p>
    <w:p>
      <w:pPr>
        <w:jc w:val="both"/>
        <w:spacing w:before="100" w:after="100"/>
        <w:ind w:start="360"/>
        <w:ind w:firstLine="360"/>
      </w:pPr>
      <w:r>
        <w:rPr>
          <w:b/>
        </w:rPr>
        <w:t>6-A</w:t>
        <w:t xml:space="preserve">.  </w:t>
      </w:r>
      <w:r>
        <w:rPr>
          <w:b/>
        </w:rPr>
        <w:t xml:space="preserve">Wording of referendum questions enacted by the Legislature.</w:t>
        <w:t xml:space="preserve"> </w:t>
      </w:r>
      <w:r>
        <w:t xml:space="preserve"> </w:t>
      </w:r>
      <w:r>
        <w:t xml:space="preserve">The proper format for a statutory referendum enacted by the Legislature is a separate question for each issue.  In determining whether there is more than one issue, each requiring a separate question, considerations include whether:</w:t>
      </w:r>
    </w:p>
    <w:p>
      <w:pPr>
        <w:jc w:val="both"/>
        <w:spacing w:before="100" w:after="0"/>
        <w:ind w:start="720"/>
      </w:pPr>
      <w:r>
        <w:rPr/>
        <w:t>A</w:t>
        <w:t xml:space="preserve">.  </w:t>
      </w:r>
      <w:r>
        <w:rPr/>
      </w:r>
      <w:r>
        <w:t xml:space="preserve">A voter would reasonably have different opinions on the different issues;</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B</w:t>
        <w:t xml:space="preserve">.  </w:t>
      </w:r>
      <w:r>
        <w:rPr/>
      </w:r>
      <w:r>
        <w:t xml:space="preserve">Having more than one question would help voters to better understand the subject matter; and</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w:pPr>
        <w:jc w:val="both"/>
        <w:spacing w:before="100" w:after="0"/>
        <w:ind w:start="720"/>
      </w:pPr>
      <w:r>
        <w:rPr/>
        <w:t>C</w:t>
        <w:t xml:space="preserve">.  </w:t>
      </w:r>
      <w:r>
        <w:rPr/>
      </w:r>
      <w:r>
        <w:t xml:space="preserve">The Legislature determines the questions are severable and can be enacted or rejected separately without negating the intent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§4 (NEW).]</w:t>
      </w:r>
    </w:p>
    <w:p>
      <w:pPr>
        <w:jc w:val="both"/>
        <w:spacing w:before="100" w:after="0"/>
        <w:ind w:start="360"/>
        <w:ind w:firstLine="360"/>
      </w:pPr>
      <w:r>
        <w:rPr>
          <w:b/>
        </w:rPr>
        <w:t>7</w:t>
        <w:t xml:space="preserve">.  </w:t>
      </w:r>
      <w:r>
        <w:rPr>
          <w:b/>
        </w:rPr>
        <w:t xml:space="preserve">Order of questions on the ballot.</w:t>
        <w:t xml:space="preserve"> </w:t>
      </w:r>
      <w:r>
        <w:t xml:space="preserve"> </w:t>
      </w:r>
      <w:r>
        <w:t xml:space="preserve">The Secretary of State shall arrange questions on the ballot in the following order: carry-over measures from a previous election; people's veto questions; initiated measures; bond issues; constitutional amendments; and other legislatively proposed referenda. Within each group, questions must be arranged in a random order determined by a selection process conducted in public. All ballot questions must be numbered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§10 (AMD).]</w:t>
      </w:r>
    </w:p>
    <w:p>
      <w:pPr>
        <w:jc w:val="both"/>
        <w:spacing w:before="100" w:after="0"/>
        <w:ind w:start="360"/>
        <w:ind w:firstLine="360"/>
      </w:pPr>
      <w:r>
        <w:rPr>
          <w:b/>
        </w:rPr>
        <w:t>8</w:t>
        <w:t xml:space="preserve">.  </w:t>
      </w:r>
      <w:r>
        <w:rPr>
          <w:b/>
        </w:rPr>
        <w:t xml:space="preserve">Explanation of effect of "yes" or "no" vote.</w:t>
        <w:t xml:space="preserve"> </w:t>
      </w:r>
      <w:r>
        <w:t xml:space="preserve"> </w:t>
      </w:r>
      <w:r>
        <w:t xml:space="preserve">The Secretary of State shall include on the ballot for each referendum question those portions of the statement prepared by the Attorney General pursuant to </w:t>
      </w:r>
      <w:r>
        <w:t>Title 1, section 353</w:t>
      </w:r>
      <w:r>
        <w:t xml:space="preserve"> that describe what a "yes" vote favors and what a "no" vote opposes.  These statements must appear directly below the relevant referendum question and above the place on the ballot for the voter to designate the voter's choice.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§2 (AMD). PL 1987, c. 188, §16 (AMD). PL 1993, c. 352, §§3,4 (AMD). PL 1993, c. 473, §41 (AMD). PL 1993, c. 473, §46 (AFF). PL 1995, c. 459, §114 (AMD). PL 1997, c. 581, §§6-10 (AMD). PL 2001, c. 310, §68 (AMD). PL 2009, c. 253, §59 (AMD). PL 2013, c. 457, §5 (AMD). PL 2019, c. 414,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§906. Form of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Form of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§906. FORM OF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