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622-A</w:t>
        <w:t xml:space="preserve">.  </w:t>
      </w:r>
      <w:r>
        <w:rPr>
          <w:b/>
        </w:rPr>
        <w:t xml:space="preserve">Notice of election</w:t>
      </w:r>
    </w:p>
    <w:p>
      <w:pPr>
        <w:jc w:val="both"/>
        <w:spacing w:before="100" w:after="100"/>
        <w:ind w:start="360"/>
        <w:ind w:firstLine="360"/>
      </w:pPr>
      <w:r>
        <w:rPr/>
      </w:r>
      <w:r>
        <w:rPr/>
      </w:r>
      <w:r>
        <w:t xml:space="preserve">The notice of election must contain the following items:  a heading that states "Notice of Election" in bold type, the day, date and title of the election, the voting district designation, if any, the name and location of the voting place, the opening and closing times of the polls and a list of the offices and referendum questions for that election.  The clerk may add times for processing absentee ballots pursuant to </w:t>
      </w:r>
      <w:r>
        <w:t>section 759, subsection 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436, §85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436, §85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§622-A. Notice of election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§622-A. Notice of election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§622-A. NOTICE OF ELECTION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