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§364. CANDIDACY BY NOMINATION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