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EXCEPTIONAL CHILDREN</w:t>
      </w:r>
    </w:p>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404. EXCEPTIONAL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EXCEPTIONAL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404. EXCEPTIONAL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