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8613</w:t>
        <w:t xml:space="preserve">.  </w:t>
      </w:r>
      <w:r>
        <w:rPr>
          <w:b/>
        </w:rPr>
        <w:t xml:space="preserve">Enrichment courses</w:t>
      </w:r>
    </w:p>
    <w:p>
      <w:pPr>
        <w:jc w:val="both"/>
        <w:spacing w:before="100" w:after="100"/>
        <w:ind w:start="360"/>
        <w:ind w:firstLine="360"/>
      </w:pPr>
      <w:r>
        <w:rPr/>
      </w:r>
      <w:r>
        <w:rPr/>
      </w:r>
      <w:r>
        <w:t xml:space="preserve">Notwithstanding any other provision of this chapter, a school administrative unit may offer enrichment courses as part of its adult education program as long as the school administrative unit tracks and reports annually to the department the number of enrichment courses offered and the total student enrollment in those courses.  A school administrative unit is not required to undertake student intake, assessment, advising, instruction and individual learning plans for enrichment courses.</w:t>
      </w:r>
      <w:r>
        <w:t xml:space="preserve">  </w:t>
      </w:r>
      <w:r xmlns:wp="http://schemas.openxmlformats.org/drawingml/2010/wordprocessingDrawing" xmlns:w15="http://schemas.microsoft.com/office/word/2012/wordml">
        <w:rPr>
          <w:rFonts w:ascii="Arial" w:hAnsi="Arial" w:cs="Arial"/>
          <w:sz w:val="22"/>
          <w:szCs w:val="22"/>
        </w:rPr>
        <w:t xml:space="preserve">[PL 2017, c. 381,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§8613. Enrichment courses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§8613. Enrichment courses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§8613. ENRICHMENT COURSES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