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commissioner may adopt rules to establish requirements for adult education courses, to establish procedures for approving adult education courses offered by units, regions or centers and to otherwise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