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Public school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  PUBLIC SCHOOL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