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6975</w:t>
        <w:t xml:space="preserve">.  </w:t>
      </w:r>
      <w:r>
        <w:rPr>
          <w:b/>
        </w:rPr>
        <w:t xml:space="preserve">Student eligibility</w:t>
      </w:r>
    </w:p>
    <w:p>
      <w:pPr>
        <w:jc w:val="both"/>
        <w:spacing w:before="100" w:after="100"/>
        <w:ind w:start="360"/>
        <w:ind w:firstLine="360"/>
      </w:pPr>
      <w:r>
        <w:rPr/>
      </w:r>
      <w:r>
        <w:rPr/>
      </w:r>
      <w:r>
        <w:t xml:space="preserve">A secondary school student is eligible to participate in secondary and postsecondary courses offered by a collaborative partnership formed pursuant to this chapter if the student is a full-time student at a public secondary school and enrolled in a career and technical education program at a career and technical education center or a career and technical education region.</w:t>
      </w:r>
      <w:r>
        <w:t xml:space="preserve">  </w:t>
      </w:r>
      <w:r xmlns:wp="http://schemas.openxmlformats.org/drawingml/2010/wordprocessingDrawing" xmlns:w15="http://schemas.microsoft.com/office/word/2012/wordml">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§6975.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§6975.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