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in school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§1 (AMD).]</w:t>
      </w:r>
    </w:p>
    <w:p>
      <w:pPr>
        <w:jc w:val="both"/>
        <w:spacing w:before="100" w:after="0"/>
        <w:ind w:start="720"/>
      </w:pPr>
      <w:r>
        <w:rPr/>
        <w:t>B</w:t>
        <w:t xml:space="preserve">.  </w:t>
      </w:r>
      <w:r>
        <w:rPr/>
      </w:r>
      <w:r>
        <w:t xml:space="preserve">"Violator" means any person or any organization which engages in injurious hazing.</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§1 (AMD).]</w:t>
      </w:r>
    </w:p>
    <w:p>
      <w:pPr>
        <w:jc w:val="both"/>
        <w:spacing w:before="100" w:after="0"/>
        <w:ind w:start="360"/>
        <w:ind w:firstLine="360"/>
      </w:pPr>
      <w:r>
        <w:rPr>
          <w:b/>
        </w:rPr>
        <w:t>2</w:t>
        <w:t xml:space="preserve">.  </w:t>
      </w:r>
      <w:r>
        <w:rPr>
          <w:b/>
        </w:rPr>
        <w:t xml:space="preserve">Adoption of policy.</w:t>
        <w:t xml:space="preserve"> </w:t>
      </w:r>
      <w:r>
        <w:t xml:space="preserve"> </w:t>
      </w:r>
      <w:r>
        <w:t xml:space="preserve">The school board shall adopt a policy which establishes that "injurious hazing," either on or off school property, by any student, staff member, group or organization affiliated with the public school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school board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public school, the ejection of the violator from school property;</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B</w:t>
        <w:t xml:space="preserve">.  </w:t>
      </w:r>
      <w:r>
        <w:rPr/>
      </w:r>
      <w:r>
        <w:t xml:space="preserve">In the case of a student, administrator or staff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C</w:t>
        <w:t xml:space="preserve">.  </w:t>
      </w:r>
      <w:r>
        <w:rPr/>
      </w:r>
      <w:r>
        <w:t xml:space="preserve">In the case of an organization affiliated with the public school which authorizes hazing, rescission of permission for that organization to operate on school property or receive any other benefit of affiliation with the public school.</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school board shall assign responsibility for administering the policy to the superintendent of schools and establish procedures for appealing the action or lack of action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school board shall clearly set forth the policy and penalties adopted and shall distribute copies of them to all students enrolled in the public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 PL 1999, c. 351, §4 (AMD). PL 2019, c. 372,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§6553. Prohibition of hazing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 Prohibition of hazing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§6553. PROHIBITION OF HAZING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