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§5022. Admission to regular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§5022. Admission to regular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§5022. ADMISSION TO REGULAR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