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4702</w:t>
        <w:t xml:space="preserve">.  </w:t>
      </w:r>
      <w:r>
        <w:rPr>
          <w:b/>
        </w:rPr>
        <w:t xml:space="preserve">Special education</w:t>
      </w:r>
    </w:p>
    <w:p>
      <w:pPr>
        <w:jc w:val="both"/>
        <w:spacing w:before="100" w:after="100"/>
        <w:ind w:start="360"/>
        <w:ind w:firstLine="360"/>
      </w:pPr>
      <w:r>
        <w:rPr/>
      </w:r>
      <w:r>
        <w:rPr/>
      </w:r>
      <w:r>
        <w:t xml:space="preserve">Elementary and secondary schools shall provide special education and related services in accordance with </w:t>
      </w:r>
      <w:r>
        <w:t>chapters 301</w:t>
      </w:r>
      <w:r>
        <w:t xml:space="preserve"> and </w:t>
      </w:r>
      <w:r>
        <w:t>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859, Pt. C,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§4702. Special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§4702. Special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§4702. SPECIAL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