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§3808. COLLECTIVE BARGAINING IN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