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3665</w:t>
        <w:t xml:space="preserve">.  </w:t>
      </w:r>
      <w:r>
        <w:rPr>
          <w:b/>
        </w:rPr>
        <w:t xml:space="preserve">Location of schoolhouses</w:t>
      </w:r>
    </w:p>
    <w:p>
      <w:pPr>
        <w:jc w:val="both"/>
        <w:spacing w:before="100" w:after="100"/>
        <w:ind w:start="360"/>
        <w:ind w:firstLine="360"/>
      </w:pPr>
      <w:r>
        <w:rPr/>
      </w:r>
      <w:r>
        <w:rPr/>
      </w:r>
      <w:r>
        <w:t xml:space="preserve">In any case where a new schoolhouse or other school facility is to be constructed or acquired, the interstate board shall first determine whether it shall be located in New Hampshire or in Maine.  If it is to be located in New Hampshire, RSA 199, relating to schoolhouses, shall apply.  If it is to be located in Maine, the Maine law relating to schoolhouses shall apply.</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§3665. Location of schoolhouses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§3665. Location of schoolhouses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§3665. LOCATION OF SCHOOLHOUSES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