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Statement of policy</w:t>
      </w:r>
    </w:p>
    <w:p>
      <w:pPr>
        <w:jc w:val="both"/>
        <w:spacing w:before="100" w:after="100"/>
        <w:ind w:start="360"/>
        <w:ind w:firstLine="360"/>
      </w:pPr>
      <w:r>
        <w:rPr/>
      </w:r>
      <w:r>
        <w:rPr/>
      </w:r>
      <w:r>
        <w:t xml:space="preserve">It is the purpose of this compact to increase the educational opportunities within the states of Maine and New Hampshire by encouraging the formation of interstate school districts which will each be a natural social and economic region with adequate financial resources and a number of pupils sufficient to permit the efficient use of school facilities within the interstate district and to provide improved instruction.  The state boards of education of Maine and New Hampshire may formulate and adopt additional standards consistent with this purpose and with these standards; and the formation of any interstate school district and the adoption of its articles of agreement shall be subject to the approval of both state boards as set forth.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§3602.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