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Taking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§3305. TAKING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