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258-B</w:t>
        <w:t xml:space="preserve">.  </w:t>
      </w:r>
      <w:r>
        <w:rPr>
          <w:b/>
        </w:rPr>
        <w:t xml:space="preserve">Air quality testing</w:t>
      </w:r>
    </w:p>
    <w:p>
      <w:pPr>
        <w:jc w:val="both"/>
        <w:spacing w:before="100" w:after="0"/>
        <w:ind w:start="360"/>
        <w:ind w:firstLine="360"/>
      </w:pPr>
      <w:r>
        <w:rPr>
          <w:b/>
        </w:rPr>
        <w:t>1</w:t>
        <w:t xml:space="preserve">.  </w:t>
      </w:r>
      <w:r>
        <w:rPr>
          <w:b/>
        </w:rPr>
        <w:t xml:space="preserve">Petition percentage.</w:t>
        <w:t xml:space="preserve"> </w:t>
      </w:r>
      <w:r>
        <w:t xml:space="preserve"> </w:t>
      </w:r>
      <w:r>
        <w:t xml:space="preserve">A request for an inspection of schools to test air quality is subject to the criteria established in </w:t>
      </w:r>
      <w:r>
        <w:t>section 258‑A</w:t>
      </w:r>
      <w:r>
        <w:t xml:space="preserve">, except that a petition by 50% of the parents of the children of one school is sufficient to initiate an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w:pPr>
        <w:jc w:val="both"/>
        <w:spacing w:before="100" w:after="0"/>
        <w:ind w:start="360"/>
        <w:ind w:firstLine="360"/>
      </w:pPr>
      <w:r>
        <w:rPr>
          <w:b/>
        </w:rPr>
        <w:t>2</w:t>
        <w:t xml:space="preserve">.  </w:t>
      </w:r>
      <w:r>
        <w:rPr>
          <w:b/>
        </w:rPr>
        <w:t xml:space="preserve">Notify citizens.</w:t>
        <w:t xml:space="preserve"> </w:t>
      </w:r>
      <w:r>
        <w:t xml:space="preserve"> </w:t>
      </w:r>
      <w:r>
        <w:t xml:space="preserve">The commissioner shall direct superintendents to notify any citizen who requests an inspection of school facilities of the petition process for requesting such an inspection under this section and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§258-B. Air quality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§258-B. Air quality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§258-B. AIR QUALITY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