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A. Collective bargaining in alternative organizational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A. Collective bargaining in alternative organizational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4-A. COLLECTIVE BARGAINING IN ALTERNATIVE ORGANIZATIONAL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