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13102</w:t>
        <w:t xml:space="preserve">.  </w:t>
      </w:r>
      <w:r>
        <w:rPr>
          <w:b/>
        </w:rPr>
        <w:t xml:space="preserve">Work plan and annual report</w:t>
      </w:r>
    </w:p>
    <w:p>
      <w:pPr>
        <w:jc w:val="both"/>
        <w:spacing w:before="100" w:after="100"/>
        <w:ind w:start="360"/>
        <w:ind w:firstLine="360"/>
      </w:pPr>
      <w:r>
        <w:rPr/>
      </w:r>
      <w:r>
        <w:rPr/>
      </w:r>
      <w:r>
        <w:t xml:space="preserve">The board shall develop an annual work plan in consultation with the commissioner and the state board that includes ongoing work and new issues for study.  The annual work plan must be set by September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w:pPr>
        <w:jc w:val="both"/>
        <w:spacing w:before="100" w:after="100"/>
        <w:ind w:start="360"/>
        <w:ind w:firstLine="360"/>
      </w:pPr>
      <w:r>
        <w:rPr/>
      </w:r>
      <w:r>
        <w:rPr/>
      </w:r>
      <w:r>
        <w:t xml:space="preserve">The board shall submit a report by June 30th of each year to the commissioner and the state board with its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457,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§13102. Work plan and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§13102. WORK PLAN AND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