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12505</w:t>
        <w:t xml:space="preserve">.  </w:t>
      </w:r>
      <w:r>
        <w:rPr>
          <w:b/>
        </w:rPr>
        <w:t xml:space="preserve">Eligibility requirements</w:t>
      </w:r>
    </w:p>
    <w:p>
      <w:pPr>
        <w:jc w:val="both"/>
        <w:spacing w:before="100" w:after="0"/>
        <w:ind w:start="360"/>
        <w:ind w:firstLine="360"/>
      </w:pPr>
      <w:r>
        <w:rPr>
          <w:b/>
        </w:rPr>
        <w:t>1</w:t>
        <w:t xml:space="preserve">.  </w:t>
      </w:r>
      <w:r>
        <w:rPr>
          <w:b/>
        </w:rPr>
        <w:t xml:space="preserve">Eligibility for loans for undergraduate education.</w:t>
        <w:t xml:space="preserve"> </w:t>
      </w:r>
      <w:r>
        <w:t xml:space="preserve"> </w:t>
      </w:r>
      <w:r>
        <w:t xml:space="preserve">An Educators for Maine loan recipient must be an undergraduate at an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303, §7 (AMD).]</w:t>
      </w:r>
    </w:p>
    <w:p>
      <w:pPr>
        <w:jc w:val="both"/>
        <w:spacing w:before="100" w:after="0"/>
        <w:ind w:start="360"/>
        <w:ind w:firstLine="360"/>
      </w:pPr>
      <w:r>
        <w:rPr>
          <w:b/>
        </w:rPr>
        <w:t>2</w:t>
        <w:t xml:space="preserve">.  </w:t>
      </w:r>
      <w:r>
        <w:rPr>
          <w:b/>
        </w:rPr>
        <w:t xml:space="preserve">Eligibility for graduate study or continuing education loans.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§7 (RP).]</w:t>
      </w:r>
    </w:p>
    <w:p>
      <w:pPr>
        <w:jc w:val="both"/>
        <w:spacing w:before="100" w:after="0"/>
        <w:ind w:start="360"/>
        <w:ind w:firstLine="360"/>
      </w:pPr>
      <w:r>
        <w:rPr>
          <w:b/>
        </w:rPr>
        <w:t>3</w:t>
        <w:t xml:space="preserve">.  </w:t>
      </w:r>
      <w:r>
        <w:rPr>
          <w:b/>
        </w:rPr>
        <w:t xml:space="preserve">Eligibility for postbaccalaureate certification.</w:t>
        <w:t xml:space="preserve"> </w:t>
      </w:r>
      <w:r>
        <w:t xml:space="preserve"> </w:t>
      </w:r>
      <w:r>
        <w:t xml:space="preserve">A loan to a student pursuing postbaccalaureate certification may be given only to a resident of the State who has shown academic achievement, who has a baccalaureate degree, who is pursuing a course of study that will lead to certification as a teacher, to licensure as a speech pathologist or to attainment of child care provider qualifications and who has met other eligibility criteria established by rule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1989, c. 414, §23 (AMD). PL 1989, c. 698, §35 (AMD). PL 1991, c. 553, §6 (AMD). PL 1995, c. 117, §E8 (AMD). PL 1995, c. 117, §E13 (AFF). PL 1999, c. 441, §9 (AMD). PL 2003, c. 427, §§6-8 (AMD). PL 2019, c. 303,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§12505. Eligibility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§12505. Eligibility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§12505. ELIGIBILITY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