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12503</w:t>
        <w:t xml:space="preserve">.  </w:t>
      </w:r>
      <w:r>
        <w:rPr>
          <w:b/>
        </w:rPr>
        <w:t xml:space="preserve">Educators for Maine loan recipients</w:t>
      </w:r>
    </w:p>
    <w:p>
      <w:pPr>
        <w:jc w:val="both"/>
        <w:spacing w:before="100" w:after="100"/>
        <w:ind w:start="360"/>
        <w:ind w:firstLine="360"/>
      </w:pPr>
      <w:r>
        <w:rPr/>
      </w:r>
      <w:r>
        <w:rPr/>
      </w:r>
      <w:r>
        <w:t xml:space="preserve">Each year graduating high school seniors, undergraduates and students pursuing postbaccalaureate certification who show evidence of academic achievement may be considered for recognition as Educators for Maine loan recipients.  Applications must be submitted to the chief executive officer at a time and in a format to be determined by rule of the authority.  In determining loan recipients, the chief executive officer shall consider candidates in 3 categories: graduating high school seniors; undergraduates, other than graduating high school seniors; and students pursuing postbaccalaureate certification.</w:t>
      </w:r>
      <w:r>
        <w:t xml:space="preserve">  </w:t>
      </w:r>
      <w:r xmlns:wp="http://schemas.openxmlformats.org/drawingml/2010/wordprocessingDrawing" xmlns:w15="http://schemas.microsoft.com/office/word/2012/wordml">
        <w:rPr>
          <w:rFonts w:ascii="Arial" w:hAnsi="Arial" w:cs="Arial"/>
          <w:sz w:val="22"/>
          <w:szCs w:val="22"/>
        </w:rPr>
        <w:t xml:space="preserve">[PL 2003,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§3 (AMD). PL 1989, c. 698, §34 (AMD). PL 1991, c. 553, §4 (AMD). PL 1995, c. 117, §E6 (AMD). PL 1995, c. 117, §E13 (AFF). PL 1999, c. 441, §7 (AMD). PL 2003, c. 427, §4 (AMD). PL 2019, c. 303,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§12503. Educators for Maine loan recipients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§12503. Educators for Maine loan recipients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§12503. EDUCATORS FOR MAINE LOAN RECIPIENTS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