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§11811. Curriculum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§11811. Curriculum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§11811. CURRICULUM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