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11472</w:t>
        <w:t xml:space="preserve">.  </w:t>
      </w:r>
      <w:r>
        <w:rPr>
          <w:b/>
        </w:rPr>
        <w:t xml:space="preserve">Maine Education Savings Program</w:t>
      </w:r>
    </w:p>
    <w:p>
      <w:pPr>
        <w:jc w:val="both"/>
        <w:spacing w:before="100" w:after="100"/>
        <w:ind w:start="360"/>
        <w:ind w:firstLine="360"/>
      </w:pPr>
      <w:r>
        <w:rPr/>
      </w:r>
      <w:r>
        <w:rPr/>
      </w:r>
      <w:r>
        <w:t xml:space="preserve">The Maine Education Savings Program, referred to in this chapter as the "program," is established to encourage the investment of funds to be used for higher education expenses.  The authority shall administer the program and act as administrator of the program fund.</w:t>
      </w:r>
      <w:r>
        <w:t xml:space="preserve">  </w:t>
      </w:r>
      <w:r xmlns:wp="http://schemas.openxmlformats.org/drawingml/2010/wordprocessingDrawing" xmlns:w15="http://schemas.microsoft.com/office/word/2012/wordml">
        <w:rPr>
          <w:rFonts w:ascii="Arial" w:hAnsi="Arial" w:cs="Arial"/>
          <w:sz w:val="22"/>
          <w:szCs w:val="22"/>
        </w:rPr>
        <w:t xml:space="preserve">[PL 2021,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2017, c. 474, Pt. F, §4 (AMD). PL 2021, c. 17,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§11472. Maine Education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§11472. Maine Education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§11472. MAINE EDUCATION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