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10903</w:t>
        <w:t xml:space="preserve">.  </w:t>
      </w:r>
      <w:r>
        <w:rPr>
          <w:b/>
        </w:rPr>
        <w:t xml:space="preserve">State agency</w:t>
      </w:r>
    </w:p>
    <w:p>
      <w:pPr>
        <w:jc w:val="both"/>
        <w:spacing w:before="100" w:after="100"/>
        <w:ind w:start="360"/>
        <w:ind w:firstLine="360"/>
      </w:pPr>
      <w:r>
        <w:rPr/>
      </w:r>
      <w:r>
        <w:rPr/>
      </w:r>
      <w:r>
        <w:t xml:space="preserve">The university shall be an instrumentality and agency of the State for the purpose for which it was established and for which it has been managed and maintained under Private and Special Law 1865, chapter 532, and related supplementary legislation.</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§10903. State agency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§10903. State agency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§10903. STATE AGENCY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