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18111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jc w:val="both"/>
        <w:spacing w:before="100" w:after="100"/>
        <w:ind w:start="1080" w:hanging="720"/>
      </w:pPr>
      <w:r>
        <w:rPr>
          <w:b/>
        </w:rPr>
        <w:t>§</w:t>
        <w:t>18113</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§I1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717. PERSONAL CARE ASSISTANCE SERVICES FOR ADULTS WITH SEVERE PHYSICAL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PERSONAL CARE ASSISTANCE SERVICES FOR ADULTS WITH SEVERE PHYSICAL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717. PERSONAL CARE ASSISTANCE SERVICES FOR ADULTS WITH SEVERE PHYSICAL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