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ADVISORY COMMITTEE ON IMPROVING OUTDOOR RECREATIONAL OPPORTUNITIES FOR PERSONS WITH DISABILITIES</w:t>
      </w:r>
    </w:p>
    <w:p>
      <w:pPr>
        <w:jc w:val="center"/>
        <w:ind w:start="360"/>
        <w:spacing w:before="300" w:after="300"/>
      </w:pPr>
      <w:r>
        <w:rPr>
          <w:b/>
        </w:rPr>
        <w:t>(REPEALED)</w:t>
      </w:r>
    </w:p>
    <w:p>
      <w:pPr>
        <w:jc w:val="both"/>
        <w:spacing w:before="100" w:after="100"/>
        <w:ind w:start="1080" w:hanging="720"/>
      </w:pPr>
      <w:r>
        <w:rPr>
          <w:b/>
        </w:rPr>
        <w:t>§</w:t>
        <w:t>18051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18052</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709. ADVISORY COMMITTEE ON IMPROVING OUTDOOR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