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w:t>
      </w:r>
    </w:p>
    <w:p>
      <w:pPr>
        <w:jc w:val="center"/>
        <w:ind w:start="360"/>
        <w:spacing w:before="300" w:after="300"/>
      </w:pPr>
      <w:r>
        <w:rPr>
          <w:b/>
        </w:rPr>
        <w:t xml:space="preserve">COMPACT FOR EDUCATION</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COMPACT</w:t>
      </w:r>
    </w:p>
    <w:p>
      <w:pPr>
        <w:jc w:val="center"/>
        <w:ind w:start="360"/>
        <w:spacing w:before="300" w:after="300"/>
      </w:pPr>
      <w:r>
        <w:rPr>
          <w:b/>
        </w:rPr>
        <w:t>(REPEALED)</w:t>
      </w:r>
    </w:p>
    <w:p>
      <w:pPr>
        <w:jc w:val="both"/>
        <w:spacing w:before="100" w:after="100"/>
        <w:ind w:start="1080" w:hanging="720"/>
      </w:pPr>
      <w:r>
        <w:rPr>
          <w:b/>
        </w:rPr>
        <w:t>§</w:t>
        <w:t>601</w:t>
        <w:t xml:space="preserve">.  </w:t>
      </w:r>
      <w:r>
        <w:rPr>
          <w:b/>
        </w:rPr>
        <w:t xml:space="preserve">Purpose and policy - Article 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RR 2009, c. 2, §42 (COR). PL 2011, c. 344, §20 (RP). </w:t>
      </w:r>
    </w:p>
    <w:p>
      <w:pPr>
        <w:jc w:val="both"/>
        <w:spacing w:before="100" w:after="100"/>
        <w:ind w:start="1080" w:hanging="720"/>
      </w:pPr>
      <w:r>
        <w:rPr>
          <w:b/>
        </w:rPr>
        <w:t>§</w:t>
        <w:t>602</w:t>
        <w:t xml:space="preserve">.  </w:t>
      </w:r>
      <w:r>
        <w:rPr>
          <w:b/>
        </w:rPr>
        <w:t xml:space="preserve">State defined - Article 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2011, c. 344, §20 (RP). </w:t>
      </w:r>
    </w:p>
    <w:p>
      <w:pPr>
        <w:jc w:val="both"/>
        <w:spacing w:before="100" w:after="100"/>
        <w:ind w:start="1080" w:hanging="720"/>
      </w:pPr>
      <w:r>
        <w:rPr>
          <w:b/>
        </w:rPr>
        <w:t>§</w:t>
        <w:t>603</w:t>
        <w:t xml:space="preserve">.  </w:t>
      </w:r>
      <w:r>
        <w:rPr>
          <w:b/>
        </w:rPr>
        <w:t xml:space="preserve">Commission - Article 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812, §103 (AMD). PL 1989, c. 503, §B73 (AMD). PL 2011, c. 344, §20 (RP). </w:t>
      </w:r>
    </w:p>
    <w:p>
      <w:pPr>
        <w:jc w:val="both"/>
        <w:spacing w:before="100" w:after="100"/>
        <w:ind w:start="1080" w:hanging="720"/>
      </w:pPr>
      <w:r>
        <w:rPr>
          <w:b/>
        </w:rPr>
        <w:t>§</w:t>
        <w:t>604</w:t>
        <w:t xml:space="preserve">.  </w:t>
      </w:r>
      <w:r>
        <w:rPr>
          <w:b/>
        </w:rPr>
        <w:t xml:space="preserve">Powers - Article IV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2011, c. 344, §20 (RP). </w:t>
      </w:r>
    </w:p>
    <w:p>
      <w:pPr>
        <w:jc w:val="both"/>
        <w:spacing w:before="100" w:after="100"/>
        <w:ind w:start="1080" w:hanging="720"/>
      </w:pPr>
      <w:r>
        <w:rPr>
          <w:b/>
        </w:rPr>
        <w:t>§</w:t>
        <w:t>605</w:t>
        <w:t xml:space="preserve">.  </w:t>
      </w:r>
      <w:r>
        <w:rPr>
          <w:b/>
        </w:rPr>
        <w:t xml:space="preserve">Cooperation with Federal Government - Article 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2011, c. 344, §20 (RP). </w:t>
      </w:r>
    </w:p>
    <w:p>
      <w:pPr>
        <w:jc w:val="both"/>
        <w:spacing w:before="100" w:after="100"/>
        <w:ind w:start="1080" w:hanging="720"/>
      </w:pPr>
      <w:r>
        <w:rPr>
          <w:b/>
        </w:rPr>
        <w:t>§</w:t>
        <w:t>606</w:t>
        <w:t xml:space="preserve">.  </w:t>
      </w:r>
      <w:r>
        <w:rPr>
          <w:b/>
        </w:rPr>
        <w:t xml:space="preserve">Committees - Article VI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2011, c. 344, §20 (RP). </w:t>
      </w:r>
    </w:p>
    <w:p>
      <w:pPr>
        <w:jc w:val="both"/>
        <w:spacing w:before="100" w:after="100"/>
        <w:ind w:start="1080" w:hanging="720"/>
      </w:pPr>
      <w:r>
        <w:rPr>
          <w:b/>
        </w:rPr>
        <w:t>§</w:t>
        <w:t>607</w:t>
        <w:t xml:space="preserve">.  </w:t>
      </w:r>
      <w:r>
        <w:rPr>
          <w:b/>
        </w:rPr>
        <w:t xml:space="preserve">Finance - Article VII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2011, c. 344, §20 (RP). </w:t>
      </w:r>
    </w:p>
    <w:p>
      <w:pPr>
        <w:jc w:val="both"/>
        <w:spacing w:before="100" w:after="100"/>
        <w:ind w:start="1080" w:hanging="720"/>
      </w:pPr>
      <w:r>
        <w:rPr>
          <w:b/>
        </w:rPr>
        <w:t>§</w:t>
        <w:t>608</w:t>
        <w:t xml:space="preserve">.  </w:t>
      </w:r>
      <w:r>
        <w:rPr>
          <w:b/>
        </w:rPr>
        <w:t xml:space="preserve">Eligible parties; entry into and withdrawal - Article VIII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§8 (AMD). PL 2011, c. 344, §20 (RP). </w:t>
      </w:r>
    </w:p>
    <w:p>
      <w:pPr>
        <w:jc w:val="both"/>
        <w:spacing w:before="100" w:after="100"/>
        <w:ind w:start="1080" w:hanging="720"/>
      </w:pPr>
      <w:r>
        <w:rPr>
          <w:b/>
        </w:rPr>
        <w:t>§</w:t>
        <w:t>609</w:t>
        <w:t xml:space="preserve">.  </w:t>
      </w:r>
      <w:r>
        <w:rPr>
          <w:b/>
        </w:rPr>
        <w:t xml:space="preserve">Construction and severability - Article IX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2011, c. 344, §20 (RP). </w:t>
      </w:r>
    </w:p>
    <w:p>
      <w:pPr>
        <w:jc w:val="center"/>
        <w:ind w:start="360"/>
        <w:spacing w:before="300" w:after="300"/>
      </w:pPr>
      <w:r>
        <w:rPr>
          <w:b/>
        </w:rPr>
        <w:t>SUBCHAPTER</w:t>
        <w:t xml:space="preserve"> </w:t>
        <w:t>2</w:t>
      </w:r>
    </w:p>
    <w:p>
      <w:pPr>
        <w:jc w:val="center"/>
        <w:ind w:start="360"/>
        <w:spacing w:before="300" w:after="300"/>
      </w:pPr>
      <w:r>
        <w:rPr>
          <w:b/>
        </w:rPr>
        <w:t xml:space="preserve">ADMINISTRATIVE PROVISIONS</w:t>
      </w:r>
    </w:p>
    <w:p>
      <w:pPr>
        <w:jc w:val="center"/>
        <w:ind w:start="360"/>
        <w:spacing w:before="300" w:after="300"/>
      </w:pPr>
      <w:r>
        <w:rPr>
          <w:b/>
        </w:rPr>
        <w:t>(REPEALED)</w:t>
      </w:r>
    </w:p>
    <w:p>
      <w:pPr>
        <w:jc w:val="both"/>
        <w:spacing w:before="100" w:after="100"/>
        <w:ind w:start="1080" w:hanging="720"/>
      </w:pPr>
      <w:r>
        <w:rPr>
          <w:b/>
        </w:rPr>
        <w:t>§</w:t>
        <w:t>651</w:t>
        <w:t xml:space="preserve">.  </w:t>
      </w:r>
      <w:r>
        <w:rPr>
          <w:b/>
        </w:rPr>
        <w:t xml:space="preserve">Maine Education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812, §104 (AMD). PL 1989, c. 503, §B74 (AMD). PL 1993, c. 252, §C3 (RP). </w:t>
      </w:r>
    </w:p>
    <w:p>
      <w:pPr>
        <w:jc w:val="both"/>
        <w:spacing w:before="100" w:after="100"/>
        <w:ind w:start="1080" w:hanging="720"/>
      </w:pPr>
      <w:r>
        <w:rPr>
          <w:b/>
        </w:rPr>
        <w:t>§</w:t>
        <w:t>652</w:t>
        <w:t xml:space="preserve">.  </w:t>
      </w:r>
      <w:r>
        <w:rPr>
          <w:b/>
        </w:rPr>
        <w:t xml:space="preserve">Members of Legislature, selection and tenure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§9 (AMD). PL 2011, c. 344, §20 (RP). </w:t>
      </w:r>
    </w:p>
    <w:p>
      <w:pPr>
        <w:jc w:val="both"/>
        <w:spacing w:before="100" w:after="100"/>
        <w:ind w:start="1080" w:hanging="720"/>
      </w:pPr>
      <w:r>
        <w:rPr>
          <w:b/>
        </w:rPr>
        <w:t>§</w:t>
        <w:t>653</w:t>
        <w:t xml:space="preserve">.  </w:t>
      </w:r>
      <w:r>
        <w:rPr>
          <w:b/>
        </w:rPr>
        <w:t xml:space="preserve">Bylaws filed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2011, c. 344, §20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7. COMPACT FOR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 COMPACT FOR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7. COMPACT FOR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