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417-B</w:t>
      </w:r>
    </w:p>
    <w:p>
      <w:pPr>
        <w:jc w:val="center"/>
        <w:ind w:start="360"/>
        <w:spacing w:before="300" w:after="300"/>
      </w:pPr>
      <w:r>
        <w:rPr>
          <w:b/>
        </w:rPr>
        <w:t xml:space="preserve">HIGHER EDUCATION LOAN PROGRAM</w:t>
      </w:r>
    </w:p>
    <w:p>
      <w:pPr>
        <w:jc w:val="both"/>
        <w:spacing w:before="100" w:after="100"/>
        <w:ind w:start="1080" w:hanging="720"/>
      </w:pPr>
      <w:r>
        <w:rPr>
          <w:b/>
        </w:rPr>
        <w:t>§</w:t>
        <w:t>11441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11444</w:t>
        <w:t xml:space="preserve">.  </w:t>
      </w:r>
      <w:r>
        <w:rPr>
          <w:b/>
        </w:rPr>
        <w:t xml:space="preserve">Higher Education Loan Program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11445</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417-B. HIGHER EDUCATION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417-B. HIGHER EDUCATION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417-B. HIGHER EDUCATION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