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329</w:t>
      </w:r>
    </w:p>
    <w:p>
      <w:pPr>
        <w:jc w:val="center"/>
        <w:ind w:start="360"/>
        <w:spacing w:before="300" w:after="300"/>
      </w:pPr>
      <w:r>
        <w:rPr>
          <w:b/>
        </w:rPr>
        <w:t xml:space="preserve">GLOBAL AND GEOGRAPHIC EDUCATION</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Maine Committee for Global and Geographic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20, §OO2 (AMD). PL 2003, c. 20, §OO4 (AFF). PL 2003, c. 643, §7 (RP). </w:t>
      </w:r>
    </w:p>
    <w:p>
      <w:pPr>
        <w:jc w:val="both"/>
        <w:spacing w:before="100" w:after="100"/>
        <w:ind w:start="1080" w:hanging="720"/>
      </w:pPr>
      <w:r>
        <w:rPr>
          <w:b/>
        </w:rPr>
        <w:t>§</w:t>
        <w:t>9802</w:t>
        <w:t xml:space="preserve">.  </w:t>
      </w:r>
      <w:r>
        <w:rPr>
          <w:b/>
        </w:rPr>
        <w:t xml:space="preserve">Duties of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1995, c. 648, §8 (AMD). PL 2003, c. 643, §7 (RP). </w:t>
      </w:r>
    </w:p>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329. GLOBAL AND GEOGRAPHIC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329. GLOBAL AND GEOGRAPHIC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329. GLOBAL AND GEOGRAPHIC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